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67" w:rsidRDefault="00FC3367" w:rsidP="00FC3367">
      <w:pPr>
        <w:keepNext/>
        <w:keepLines/>
        <w:spacing w:line="240" w:lineRule="auto"/>
        <w:jc w:val="center"/>
        <w:outlineLvl w:val="0"/>
        <w:rPr>
          <w:rFonts w:cs="Times New Roman"/>
          <w:b/>
          <w:bCs/>
          <w:color w:val="000000"/>
          <w:sz w:val="32"/>
          <w:szCs w:val="32"/>
        </w:rPr>
      </w:pPr>
      <w:bookmarkStart w:id="0" w:name="bookmark0"/>
      <w:r>
        <w:rPr>
          <w:rFonts w:cs="Times New Roman"/>
          <w:b/>
          <w:bCs/>
          <w:color w:val="000000"/>
          <w:sz w:val="32"/>
          <w:szCs w:val="32"/>
        </w:rPr>
        <w:t>ІНФОРМАЦІЯ</w:t>
      </w:r>
      <w:bookmarkStart w:id="1" w:name="_GoBack"/>
      <w:bookmarkEnd w:id="0"/>
      <w:bookmarkEnd w:id="1"/>
    </w:p>
    <w:p w:rsidR="00FC3367" w:rsidRPr="00287B6E" w:rsidRDefault="00FC3367" w:rsidP="00287B6E">
      <w:pPr>
        <w:keepNext/>
        <w:keepLines/>
        <w:spacing w:line="240" w:lineRule="auto"/>
        <w:jc w:val="center"/>
        <w:outlineLvl w:val="0"/>
        <w:rPr>
          <w:rFonts w:cs="Times New Roman"/>
          <w:b/>
          <w:bCs/>
          <w:sz w:val="32"/>
          <w:szCs w:val="32"/>
          <w:lang w:val="ru-RU"/>
        </w:rPr>
      </w:pPr>
      <w:bookmarkStart w:id="2" w:name="bookmark1"/>
      <w:r>
        <w:rPr>
          <w:rFonts w:cs="Times New Roman"/>
          <w:b/>
          <w:bCs/>
          <w:color w:val="000000"/>
          <w:sz w:val="32"/>
          <w:szCs w:val="32"/>
        </w:rPr>
        <w:t xml:space="preserve">моніторингу стану та розвитку </w:t>
      </w:r>
      <w:bookmarkStart w:id="3" w:name="bookmark2"/>
      <w:bookmarkEnd w:id="2"/>
      <w:r>
        <w:rPr>
          <w:rFonts w:cs="Times New Roman"/>
          <w:b/>
          <w:bCs/>
          <w:color w:val="000000"/>
          <w:sz w:val="32"/>
          <w:szCs w:val="32"/>
        </w:rPr>
        <w:t xml:space="preserve">сільськогосподарських рослин в Сумському регіоні станом на </w:t>
      </w:r>
      <w:r w:rsidR="00287B6E" w:rsidRPr="00287B6E">
        <w:rPr>
          <w:rFonts w:cs="Times New Roman"/>
          <w:b/>
          <w:bCs/>
          <w:color w:val="000000"/>
          <w:sz w:val="32"/>
          <w:szCs w:val="32"/>
          <w:lang w:val="ru-RU"/>
        </w:rPr>
        <w:t>16</w:t>
      </w:r>
      <w:r>
        <w:rPr>
          <w:rFonts w:cs="Times New Roman"/>
          <w:b/>
          <w:bCs/>
          <w:color w:val="000000"/>
          <w:sz w:val="32"/>
          <w:szCs w:val="32"/>
        </w:rPr>
        <w:t>.</w:t>
      </w:r>
      <w:r>
        <w:rPr>
          <w:rFonts w:cs="Times New Roman"/>
          <w:b/>
          <w:bCs/>
          <w:color w:val="000000"/>
          <w:sz w:val="32"/>
          <w:szCs w:val="32"/>
          <w:lang w:val="ru-RU"/>
        </w:rPr>
        <w:t>0</w:t>
      </w:r>
      <w:r w:rsidRPr="002B3BF0">
        <w:rPr>
          <w:rFonts w:cs="Times New Roman"/>
          <w:b/>
          <w:bCs/>
          <w:color w:val="000000"/>
          <w:sz w:val="32"/>
          <w:szCs w:val="32"/>
          <w:lang w:val="ru-RU"/>
        </w:rPr>
        <w:t>3</w:t>
      </w:r>
      <w:r>
        <w:rPr>
          <w:rFonts w:cs="Times New Roman"/>
          <w:b/>
          <w:bCs/>
          <w:color w:val="000000"/>
          <w:sz w:val="32"/>
          <w:szCs w:val="32"/>
        </w:rPr>
        <w:t>.</w:t>
      </w:r>
      <w:r>
        <w:rPr>
          <w:rFonts w:cs="Times New Roman"/>
          <w:b/>
          <w:bCs/>
          <w:sz w:val="32"/>
          <w:szCs w:val="32"/>
        </w:rPr>
        <w:t>201</w:t>
      </w:r>
      <w:r w:rsidRPr="0072273E">
        <w:rPr>
          <w:rFonts w:cs="Times New Roman"/>
          <w:b/>
          <w:bCs/>
          <w:sz w:val="32"/>
          <w:szCs w:val="32"/>
          <w:lang w:val="ru-RU"/>
        </w:rPr>
        <w:t>7</w:t>
      </w:r>
      <w:r>
        <w:rPr>
          <w:rFonts w:cs="Times New Roman"/>
          <w:b/>
          <w:bCs/>
          <w:sz w:val="32"/>
          <w:szCs w:val="32"/>
        </w:rPr>
        <w:t xml:space="preserve"> року</w:t>
      </w:r>
      <w:bookmarkEnd w:id="3"/>
    </w:p>
    <w:p w:rsidR="00287B6E" w:rsidRPr="00287B6E" w:rsidRDefault="00287B6E" w:rsidP="00287B6E">
      <w:pPr>
        <w:keepNext/>
        <w:keepLines/>
        <w:spacing w:line="240" w:lineRule="auto"/>
        <w:jc w:val="center"/>
        <w:outlineLvl w:val="0"/>
        <w:rPr>
          <w:rFonts w:cs="Times New Roman"/>
          <w:b/>
          <w:bCs/>
          <w:sz w:val="32"/>
          <w:szCs w:val="32"/>
          <w:lang w:val="ru-RU"/>
        </w:rPr>
      </w:pPr>
    </w:p>
    <w:p w:rsidR="00FC3367" w:rsidRPr="002F04EA" w:rsidRDefault="00FC3367" w:rsidP="00276BDC">
      <w:pPr>
        <w:spacing w:line="276" w:lineRule="auto"/>
        <w:rPr>
          <w:rFonts w:eastAsia="Calibri" w:cs="Times New Roman"/>
          <w:b/>
          <w:i/>
          <w:sz w:val="32"/>
          <w:szCs w:val="28"/>
          <w:lang w:val="ru-RU"/>
        </w:rPr>
      </w:pPr>
      <w:r>
        <w:rPr>
          <w:rFonts w:cs="Times New Roman"/>
          <w:b/>
          <w:i/>
          <w:sz w:val="32"/>
          <w:szCs w:val="28"/>
        </w:rPr>
        <w:t xml:space="preserve">                                  </w:t>
      </w:r>
      <w:r w:rsidRPr="00B97D7F">
        <w:rPr>
          <w:rFonts w:cs="Times New Roman"/>
          <w:b/>
          <w:i/>
          <w:sz w:val="32"/>
          <w:szCs w:val="28"/>
        </w:rPr>
        <w:t>Метеорологі</w:t>
      </w:r>
      <w:r w:rsidRPr="00B97D7F">
        <w:rPr>
          <w:rFonts w:eastAsia="Calibri" w:cs="Times New Roman"/>
          <w:b/>
          <w:i/>
          <w:sz w:val="32"/>
          <w:szCs w:val="28"/>
        </w:rPr>
        <w:t>я</w:t>
      </w:r>
    </w:p>
    <w:p w:rsidR="00287B6E" w:rsidRPr="00287B6E" w:rsidRDefault="00287B6E" w:rsidP="00F06E0A">
      <w:pPr>
        <w:spacing w:line="276" w:lineRule="auto"/>
        <w:ind w:firstLine="708"/>
        <w:rPr>
          <w:rFonts w:eastAsia="Calibri" w:cs="Times New Roman"/>
          <w:szCs w:val="28"/>
        </w:rPr>
      </w:pPr>
      <w:r>
        <w:rPr>
          <w:rFonts w:eastAsia="Calibri" w:cs="Times New Roman"/>
          <w:szCs w:val="28"/>
        </w:rPr>
        <w:t xml:space="preserve">Поступове </w:t>
      </w:r>
      <w:r w:rsidR="00F06E0A">
        <w:rPr>
          <w:rFonts w:eastAsia="Calibri" w:cs="Times New Roman"/>
          <w:szCs w:val="28"/>
        </w:rPr>
        <w:t>підвищення</w:t>
      </w:r>
      <w:r>
        <w:rPr>
          <w:rFonts w:eastAsia="Calibri" w:cs="Times New Roman"/>
          <w:szCs w:val="28"/>
        </w:rPr>
        <w:t xml:space="preserve"> температури повітря відзначалося на кінець першої декади березня. Середньодобова температура повітря становила  7,1 </w:t>
      </w:r>
      <w:r w:rsidRPr="0099332F">
        <w:rPr>
          <w:rFonts w:eastAsia="Calibri"/>
          <w:szCs w:val="28"/>
        </w:rPr>
        <w:t>˚С</w:t>
      </w:r>
      <w:r>
        <w:rPr>
          <w:rFonts w:eastAsia="Calibri"/>
          <w:szCs w:val="28"/>
        </w:rPr>
        <w:t xml:space="preserve">. Опадів не було. На зміну температури повітря прийшов перемінний температурний режим на початок другої декади  місяця. Середньодобова температура повітря становила  4,9 </w:t>
      </w:r>
      <w:r w:rsidRPr="0099332F">
        <w:rPr>
          <w:rFonts w:eastAsia="Calibri"/>
          <w:szCs w:val="28"/>
        </w:rPr>
        <w:t>˚С</w:t>
      </w:r>
      <w:r>
        <w:rPr>
          <w:rFonts w:eastAsia="Calibri"/>
          <w:szCs w:val="28"/>
        </w:rPr>
        <w:t>. Опадів випало 0,9 мм. Максимальна температура  повітря в денні години досягла позначки 11,5</w:t>
      </w:r>
      <w:r w:rsidRPr="00287B6E">
        <w:rPr>
          <w:rFonts w:eastAsia="Calibri"/>
          <w:szCs w:val="28"/>
        </w:rPr>
        <w:t xml:space="preserve"> </w:t>
      </w:r>
      <w:r w:rsidRPr="0099332F">
        <w:rPr>
          <w:rFonts w:eastAsia="Calibri"/>
          <w:szCs w:val="28"/>
        </w:rPr>
        <w:t>˚С</w:t>
      </w:r>
      <w:r>
        <w:rPr>
          <w:rFonts w:eastAsia="Calibri"/>
          <w:szCs w:val="28"/>
        </w:rPr>
        <w:t>(15.03). Вночі на стовпчику термометра відзначалася температура мінус 1,0</w:t>
      </w:r>
      <w:r w:rsidRPr="00287B6E">
        <w:rPr>
          <w:rFonts w:eastAsia="Calibri"/>
          <w:szCs w:val="28"/>
        </w:rPr>
        <w:t xml:space="preserve"> </w:t>
      </w:r>
      <w:r w:rsidRPr="0099332F">
        <w:rPr>
          <w:rFonts w:eastAsia="Calibri"/>
          <w:szCs w:val="28"/>
        </w:rPr>
        <w:t>˚С</w:t>
      </w:r>
      <w:r>
        <w:rPr>
          <w:rFonts w:eastAsia="Calibri"/>
          <w:szCs w:val="28"/>
        </w:rPr>
        <w:t xml:space="preserve"> (15.03) в повітрі та мінус 5</w:t>
      </w:r>
      <w:r w:rsidRPr="00287B6E">
        <w:rPr>
          <w:rFonts w:eastAsia="Calibri"/>
          <w:szCs w:val="28"/>
        </w:rPr>
        <w:t xml:space="preserve"> </w:t>
      </w:r>
      <w:r w:rsidRPr="0099332F">
        <w:rPr>
          <w:rFonts w:eastAsia="Calibri"/>
          <w:szCs w:val="28"/>
        </w:rPr>
        <w:t>˚С</w:t>
      </w:r>
      <w:r>
        <w:rPr>
          <w:rFonts w:eastAsia="Calibri"/>
          <w:szCs w:val="28"/>
        </w:rPr>
        <w:t xml:space="preserve"> на поверхні </w:t>
      </w:r>
      <w:r w:rsidR="00403A40">
        <w:rPr>
          <w:rFonts w:eastAsia="Calibri"/>
          <w:szCs w:val="28"/>
        </w:rPr>
        <w:t>ґрунту</w:t>
      </w:r>
      <w:r>
        <w:rPr>
          <w:rFonts w:eastAsia="Calibri"/>
          <w:szCs w:val="28"/>
        </w:rPr>
        <w:t xml:space="preserve">. Вітер переважав за ці дні південно – східний 3-5 м/с. Відносна вологість повітря </w:t>
      </w:r>
      <w:r w:rsidR="00403A40">
        <w:rPr>
          <w:rFonts w:eastAsia="Calibri"/>
          <w:szCs w:val="28"/>
        </w:rPr>
        <w:t>знижувалась до 43%. Середня температура ґрунту на глибині 5 і 40 см становила 1,5</w:t>
      </w:r>
      <w:r w:rsidR="00403A40" w:rsidRPr="00403A40">
        <w:rPr>
          <w:rFonts w:eastAsia="Calibri"/>
          <w:szCs w:val="28"/>
        </w:rPr>
        <w:t xml:space="preserve"> </w:t>
      </w:r>
      <w:r w:rsidR="00403A40" w:rsidRPr="0099332F">
        <w:rPr>
          <w:rFonts w:eastAsia="Calibri"/>
          <w:szCs w:val="28"/>
        </w:rPr>
        <w:t>˚С</w:t>
      </w:r>
      <w:r w:rsidR="00403A40">
        <w:rPr>
          <w:rFonts w:eastAsia="Calibri"/>
          <w:szCs w:val="28"/>
        </w:rPr>
        <w:t xml:space="preserve"> і 0,2</w:t>
      </w:r>
      <w:r w:rsidR="00403A40" w:rsidRPr="00403A40">
        <w:rPr>
          <w:rFonts w:eastAsia="Calibri"/>
          <w:szCs w:val="28"/>
        </w:rPr>
        <w:t xml:space="preserve"> </w:t>
      </w:r>
      <w:r w:rsidR="00403A40" w:rsidRPr="0099332F">
        <w:rPr>
          <w:rFonts w:eastAsia="Calibri"/>
          <w:szCs w:val="28"/>
        </w:rPr>
        <w:t>˚С</w:t>
      </w:r>
      <w:r w:rsidR="00403A40">
        <w:rPr>
          <w:rFonts w:eastAsia="Calibri"/>
          <w:szCs w:val="28"/>
        </w:rPr>
        <w:t>. До кінця декади спостерігатиметься хмарна погода, можливі опади, буде помірно тепл</w:t>
      </w:r>
      <w:r w:rsidR="00F06E0A">
        <w:rPr>
          <w:rFonts w:eastAsia="Calibri"/>
          <w:szCs w:val="28"/>
        </w:rPr>
        <w:t>о</w:t>
      </w:r>
      <w:r w:rsidR="00403A40">
        <w:rPr>
          <w:rFonts w:eastAsia="Calibri"/>
          <w:szCs w:val="28"/>
        </w:rPr>
        <w:t>.</w:t>
      </w:r>
    </w:p>
    <w:p w:rsidR="00FC3367" w:rsidRDefault="00FC3367" w:rsidP="00276BDC">
      <w:pPr>
        <w:spacing w:line="276" w:lineRule="auto"/>
        <w:ind w:firstLine="0"/>
        <w:jc w:val="center"/>
        <w:rPr>
          <w:rFonts w:eastAsia="Calibri" w:cs="Times New Roman"/>
          <w:b/>
          <w:i/>
          <w:sz w:val="32"/>
          <w:szCs w:val="28"/>
        </w:rPr>
      </w:pPr>
      <w:r w:rsidRPr="00B97D7F">
        <w:rPr>
          <w:rFonts w:eastAsia="Calibri" w:cs="Times New Roman"/>
          <w:b/>
          <w:i/>
          <w:sz w:val="32"/>
          <w:szCs w:val="28"/>
        </w:rPr>
        <w:t>Рослинництво</w:t>
      </w:r>
    </w:p>
    <w:p w:rsidR="00403A40" w:rsidRDefault="00403A40" w:rsidP="00276BDC">
      <w:pPr>
        <w:spacing w:line="276" w:lineRule="auto"/>
        <w:rPr>
          <w:rFonts w:eastAsia="Calibri"/>
          <w:szCs w:val="28"/>
        </w:rPr>
      </w:pPr>
      <w:r>
        <w:rPr>
          <w:szCs w:val="24"/>
        </w:rPr>
        <w:t xml:space="preserve">Весняні погодні процеси 2017 року, що пливають на розвиток рослин в північно – східному регіоні України розпочались майже на місяць раніше  </w:t>
      </w:r>
      <w:proofErr w:type="spellStart"/>
      <w:r>
        <w:rPr>
          <w:szCs w:val="24"/>
        </w:rPr>
        <w:t>середньобагаторічних</w:t>
      </w:r>
      <w:proofErr w:type="spellEnd"/>
      <w:r>
        <w:rPr>
          <w:szCs w:val="24"/>
        </w:rPr>
        <w:t xml:space="preserve"> дат. Зокрема, метеорологічне і фактичне поновлення вегетації озимих рослин за даними агрометеорологічної служби Інституту сільського господарства Північного Сходу встановлено 05 березня при багаторічній даті 04 квітня. Минулого року вказана дата настала 01 квітня. На відміно  від попередніх років в умовах нинішнього року повернення середньодобової  температури повітря нижче 0,5 </w:t>
      </w:r>
      <w:r>
        <w:rPr>
          <w:rFonts w:eastAsia="Calibri"/>
          <w:szCs w:val="28"/>
        </w:rPr>
        <w:t>°С починаючи з 05 березня не спостерігалось, що свідчить про стійкий початок весняних польових робіт.</w:t>
      </w:r>
    </w:p>
    <w:p w:rsidR="00403A40" w:rsidRDefault="00403A40" w:rsidP="00276BDC">
      <w:pPr>
        <w:spacing w:line="276" w:lineRule="auto"/>
        <w:rPr>
          <w:rFonts w:eastAsia="Calibri"/>
          <w:szCs w:val="28"/>
        </w:rPr>
      </w:pPr>
      <w:r>
        <w:rPr>
          <w:rFonts w:eastAsia="Calibri"/>
          <w:szCs w:val="28"/>
        </w:rPr>
        <w:t>На час поновлення весняної вегетації рослин запаси продуктивної вологи в метровому шарі ґрунту  складають 205-215 мм. На відміно від попередніх років, коли  прошарок ґрунту глибокого горизонту 90 – 100 см, а інколи і 80 – 100 см був майже не зволожений, нинішнього – у вказаних горизонтах запаси вологи добрі. Тобто, відбулось з’єднання вологи з глибокими ґрунтовими горизонтами, що обіцяє хороше водозабезпечення рослин в період вегетації.</w:t>
      </w:r>
    </w:p>
    <w:p w:rsidR="00403A40" w:rsidRDefault="00403A40" w:rsidP="00276BDC">
      <w:pPr>
        <w:spacing w:line="276" w:lineRule="auto"/>
        <w:rPr>
          <w:rFonts w:eastAsia="Calibri"/>
          <w:szCs w:val="28"/>
        </w:rPr>
      </w:pPr>
      <w:r>
        <w:rPr>
          <w:rFonts w:eastAsia="Calibri"/>
          <w:szCs w:val="28"/>
        </w:rPr>
        <w:t xml:space="preserve">Орний шар ґрунту має  хороші агрофізичні властивості, добре  розробляється робочими органами </w:t>
      </w:r>
      <w:proofErr w:type="spellStart"/>
      <w:r>
        <w:rPr>
          <w:rFonts w:eastAsia="Calibri"/>
          <w:szCs w:val="28"/>
        </w:rPr>
        <w:t>грунутооброблених</w:t>
      </w:r>
      <w:proofErr w:type="spellEnd"/>
      <w:r>
        <w:rPr>
          <w:rFonts w:eastAsia="Calibri"/>
          <w:szCs w:val="28"/>
        </w:rPr>
        <w:t xml:space="preserve"> машини (боронами, культиваторними лапами, тощо).</w:t>
      </w:r>
    </w:p>
    <w:p w:rsidR="00403A40" w:rsidRDefault="00403A40" w:rsidP="00276BDC">
      <w:pPr>
        <w:spacing w:line="276" w:lineRule="auto"/>
        <w:rPr>
          <w:rFonts w:eastAsia="Calibri"/>
          <w:szCs w:val="28"/>
        </w:rPr>
      </w:pPr>
      <w:r>
        <w:rPr>
          <w:rFonts w:eastAsia="Calibri"/>
          <w:szCs w:val="28"/>
        </w:rPr>
        <w:t xml:space="preserve">В області виконується підживлення озимих культур як поверхневим так і прикореневим способом (стан ґрунту дозволяє). Більшість господарств використовують гранульовані азотні добрива, зокрема аміачну селітру. Цей агротехнічний захід є обов’язковим, бо розвиток рослин, враховуючи особливості осіннього періоду 2016 року, відстає від оптимального на даний </w:t>
      </w:r>
      <w:r>
        <w:rPr>
          <w:rFonts w:eastAsia="Calibri"/>
          <w:szCs w:val="28"/>
        </w:rPr>
        <w:lastRenderedPageBreak/>
        <w:t xml:space="preserve">період. На більшості площ озимих рослин знаходяться в фазі 3 – 4 листків – початку кущіння, що і зумовлює необхідність вчасного їх підживлення. Зрідження посівів є незначним, в межах 3 – 5% і не потребує їх посіву. </w:t>
      </w:r>
    </w:p>
    <w:p w:rsidR="00403A40" w:rsidRPr="00403A40" w:rsidRDefault="00403A40" w:rsidP="00403A40">
      <w:pPr>
        <w:spacing w:line="276" w:lineRule="auto"/>
        <w:rPr>
          <w:rFonts w:eastAsia="Calibri"/>
          <w:szCs w:val="28"/>
        </w:rPr>
      </w:pPr>
      <w:r>
        <w:rPr>
          <w:rFonts w:eastAsia="Calibri"/>
          <w:szCs w:val="28"/>
        </w:rPr>
        <w:t xml:space="preserve">Агрофізичний стан ґрунту, температурний режим повітря та ґрунту дозволяють висівати холодостійкі культури, зокрема овес, </w:t>
      </w:r>
      <w:proofErr w:type="spellStart"/>
      <w:r>
        <w:rPr>
          <w:rFonts w:eastAsia="Calibri"/>
          <w:szCs w:val="28"/>
        </w:rPr>
        <w:t>хрестоцвітні</w:t>
      </w:r>
      <w:proofErr w:type="spellEnd"/>
      <w:r>
        <w:rPr>
          <w:rFonts w:eastAsia="Calibri"/>
          <w:szCs w:val="28"/>
        </w:rPr>
        <w:t xml:space="preserve"> ярі.</w:t>
      </w:r>
    </w:p>
    <w:p w:rsidR="000C0C7C" w:rsidRPr="000C0C7C" w:rsidRDefault="000C0C7C" w:rsidP="00F1619A">
      <w:pPr>
        <w:jc w:val="center"/>
        <w:rPr>
          <w:rFonts w:eastAsia="Times New Roman"/>
          <w:b/>
          <w:i/>
          <w:sz w:val="32"/>
          <w:szCs w:val="28"/>
          <w:lang w:eastAsia="ru-RU"/>
        </w:rPr>
      </w:pPr>
      <w:r w:rsidRPr="000C0C7C">
        <w:rPr>
          <w:rFonts w:eastAsia="Times New Roman"/>
          <w:b/>
          <w:i/>
          <w:sz w:val="32"/>
          <w:szCs w:val="28"/>
          <w:lang w:eastAsia="ru-RU"/>
        </w:rPr>
        <w:t>Овочівництво</w:t>
      </w:r>
    </w:p>
    <w:p w:rsidR="000C0C7C" w:rsidRPr="00276BDC" w:rsidRDefault="000C0C7C" w:rsidP="00276BDC">
      <w:pPr>
        <w:spacing w:line="276" w:lineRule="auto"/>
        <w:ind w:firstLine="851"/>
        <w:rPr>
          <w:szCs w:val="28"/>
        </w:rPr>
      </w:pPr>
      <w:r w:rsidRPr="00276BDC">
        <w:rPr>
          <w:szCs w:val="28"/>
        </w:rPr>
        <w:t>В середині березня продовжується догляд за сіянцями і розсадою ранньої і цвітної капусти, надранніх помідорів насіння яких було висіяно в попередній період.</w:t>
      </w:r>
      <w:r w:rsidR="00F1619A" w:rsidRPr="00276BDC">
        <w:rPr>
          <w:szCs w:val="28"/>
        </w:rPr>
        <w:t xml:space="preserve"> Проводять підготовку до висіву насіння помідорів для отримання розсади пізніх строків висаджування.</w:t>
      </w:r>
    </w:p>
    <w:p w:rsidR="000C0C7C" w:rsidRPr="00276BDC" w:rsidRDefault="000C0C7C" w:rsidP="00276BDC">
      <w:pPr>
        <w:spacing w:line="276" w:lineRule="auto"/>
        <w:ind w:firstLine="851"/>
        <w:rPr>
          <w:szCs w:val="28"/>
        </w:rPr>
      </w:pPr>
      <w:r w:rsidRPr="00276BDC">
        <w:rPr>
          <w:szCs w:val="28"/>
        </w:rPr>
        <w:t xml:space="preserve">Підживлення розсади овочевих рослин розпочинають при утворенні у рослин двох-трьох справжніх листків або через 7-10 діб після пікірування чи проріджування. Підживлення розсади всіх овочевих рослин краще проводити вранці, після чого краплі розчину добрив змити з листків чистою водою (щоб не обпекти їх). Для капуст та селери при першому підживленні використовують </w:t>
      </w:r>
      <w:smartTag w:uri="urn:schemas-microsoft-com:office:smarttags" w:element="metricconverter">
        <w:smartTagPr>
          <w:attr w:name="ProductID" w:val="20 г"/>
        </w:smartTagPr>
        <w:r w:rsidRPr="00276BDC">
          <w:rPr>
            <w:szCs w:val="28"/>
          </w:rPr>
          <w:t>20 г</w:t>
        </w:r>
      </w:smartTag>
      <w:r w:rsidRPr="00276BDC">
        <w:rPr>
          <w:szCs w:val="28"/>
        </w:rPr>
        <w:t xml:space="preserve"> аміачної селітри, </w:t>
      </w:r>
      <w:smartTag w:uri="urn:schemas-microsoft-com:office:smarttags" w:element="metricconverter">
        <w:smartTagPr>
          <w:attr w:name="ProductID" w:val="40 г"/>
        </w:smartTagPr>
        <w:r w:rsidRPr="00276BDC">
          <w:rPr>
            <w:szCs w:val="28"/>
          </w:rPr>
          <w:t>40 г</w:t>
        </w:r>
      </w:smartTag>
      <w:r w:rsidRPr="00276BDC">
        <w:rPr>
          <w:szCs w:val="28"/>
        </w:rPr>
        <w:t xml:space="preserve"> суперфосфату і </w:t>
      </w:r>
      <w:smartTag w:uri="urn:schemas-microsoft-com:office:smarttags" w:element="metricconverter">
        <w:smartTagPr>
          <w:attr w:name="ProductID" w:val="10 г"/>
        </w:smartTagPr>
        <w:r w:rsidRPr="00276BDC">
          <w:rPr>
            <w:szCs w:val="28"/>
          </w:rPr>
          <w:t>10 г</w:t>
        </w:r>
      </w:smartTag>
      <w:r w:rsidRPr="00276BDC">
        <w:rPr>
          <w:szCs w:val="28"/>
        </w:rPr>
        <w:t xml:space="preserve"> калію сірчанокислого на </w:t>
      </w:r>
      <w:smartTag w:uri="urn:schemas-microsoft-com:office:smarttags" w:element="metricconverter">
        <w:smartTagPr>
          <w:attr w:name="ProductID" w:val="10 л"/>
        </w:smartTagPr>
        <w:r w:rsidRPr="00276BDC">
          <w:rPr>
            <w:szCs w:val="28"/>
          </w:rPr>
          <w:t>10 л</w:t>
        </w:r>
      </w:smartTag>
      <w:r w:rsidRPr="00276BDC">
        <w:rPr>
          <w:szCs w:val="28"/>
        </w:rPr>
        <w:t xml:space="preserve"> води - на </w:t>
      </w:r>
      <w:smartTag w:uri="urn:schemas-microsoft-com:office:smarttags" w:element="metricconverter">
        <w:smartTagPr>
          <w:attr w:name="ProductID" w:val="3 м2"/>
        </w:smartTagPr>
        <w:r w:rsidRPr="00276BDC">
          <w:rPr>
            <w:szCs w:val="28"/>
          </w:rPr>
          <w:t>3 м</w:t>
        </w:r>
        <w:r w:rsidRPr="00276BDC">
          <w:rPr>
            <w:szCs w:val="28"/>
            <w:vertAlign w:val="superscript"/>
          </w:rPr>
          <w:t>2</w:t>
        </w:r>
      </w:smartTag>
      <w:r w:rsidRPr="00276BDC">
        <w:rPr>
          <w:szCs w:val="28"/>
        </w:rPr>
        <w:t xml:space="preserve">. За вирощування розсади капуст при другому підживленні дозу аміачної селітри збільшують до </w:t>
      </w:r>
      <w:smartTag w:uri="urn:schemas-microsoft-com:office:smarttags" w:element="metricconverter">
        <w:smartTagPr>
          <w:attr w:name="ProductID" w:val="30 г"/>
        </w:smartTagPr>
        <w:r w:rsidRPr="00276BDC">
          <w:rPr>
            <w:szCs w:val="28"/>
          </w:rPr>
          <w:t>30 г</w:t>
        </w:r>
      </w:smartTag>
      <w:r w:rsidRPr="00276BDC">
        <w:rPr>
          <w:szCs w:val="28"/>
        </w:rPr>
        <w:t xml:space="preserve"> і калію сірчанокислого до </w:t>
      </w:r>
      <w:smartTag w:uri="urn:schemas-microsoft-com:office:smarttags" w:element="metricconverter">
        <w:smartTagPr>
          <w:attr w:name="ProductID" w:val="15 г"/>
        </w:smartTagPr>
        <w:r w:rsidRPr="00276BDC">
          <w:rPr>
            <w:szCs w:val="28"/>
          </w:rPr>
          <w:t>15 г</w:t>
        </w:r>
      </w:smartTag>
      <w:r w:rsidRPr="00276BDC">
        <w:rPr>
          <w:szCs w:val="28"/>
        </w:rPr>
        <w:t xml:space="preserve"> в </w:t>
      </w:r>
      <w:smartTag w:uri="urn:schemas-microsoft-com:office:smarttags" w:element="metricconverter">
        <w:smartTagPr>
          <w:attr w:name="ProductID" w:val="10 л"/>
        </w:smartTagPr>
        <w:r w:rsidRPr="00276BDC">
          <w:rPr>
            <w:szCs w:val="28"/>
          </w:rPr>
          <w:t>10 л</w:t>
        </w:r>
      </w:smartTag>
      <w:r w:rsidRPr="00276BDC">
        <w:rPr>
          <w:szCs w:val="28"/>
        </w:rPr>
        <w:t xml:space="preserve"> води на </w:t>
      </w:r>
      <w:smartTag w:uri="urn:schemas-microsoft-com:office:smarttags" w:element="metricconverter">
        <w:smartTagPr>
          <w:attr w:name="ProductID" w:val="1,5 м2"/>
        </w:smartTagPr>
        <w:r w:rsidRPr="00276BDC">
          <w:rPr>
            <w:szCs w:val="28"/>
          </w:rPr>
          <w:t>1,5 м</w:t>
        </w:r>
        <w:r w:rsidRPr="00276BDC">
          <w:rPr>
            <w:szCs w:val="28"/>
            <w:vertAlign w:val="superscript"/>
          </w:rPr>
          <w:t>2</w:t>
        </w:r>
      </w:smartTag>
      <w:r w:rsidRPr="00276BDC">
        <w:rPr>
          <w:szCs w:val="28"/>
        </w:rPr>
        <w:t xml:space="preserve">, при третьому - дозу селітри зменшують до </w:t>
      </w:r>
      <w:smartTag w:uri="urn:schemas-microsoft-com:office:smarttags" w:element="metricconverter">
        <w:smartTagPr>
          <w:attr w:name="ProductID" w:val="20 г"/>
        </w:smartTagPr>
        <w:r w:rsidRPr="00276BDC">
          <w:rPr>
            <w:szCs w:val="28"/>
          </w:rPr>
          <w:t>20 г</w:t>
        </w:r>
      </w:smartTag>
      <w:r w:rsidRPr="00276BDC">
        <w:rPr>
          <w:szCs w:val="28"/>
        </w:rPr>
        <w:t xml:space="preserve">, а калію сірчанокислого збільшують до </w:t>
      </w:r>
      <w:smartTag w:uri="urn:schemas-microsoft-com:office:smarttags" w:element="metricconverter">
        <w:smartTagPr>
          <w:attr w:name="ProductID" w:val="30 г"/>
        </w:smartTagPr>
        <w:r w:rsidRPr="00276BDC">
          <w:rPr>
            <w:szCs w:val="28"/>
          </w:rPr>
          <w:t>30 г</w:t>
        </w:r>
      </w:smartTag>
      <w:r w:rsidRPr="00276BDC">
        <w:rPr>
          <w:szCs w:val="28"/>
        </w:rPr>
        <w:t>. Інтервал між підживленнями 8-10 діб. При доброму розвитку рослин за одну-дві доби до висаджування розсади рослини підживлюють калієм сірчанокислим - 40-</w:t>
      </w:r>
      <w:smartTag w:uri="urn:schemas-microsoft-com:office:smarttags" w:element="metricconverter">
        <w:smartTagPr>
          <w:attr w:name="ProductID" w:val="60 г"/>
        </w:smartTagPr>
        <w:r w:rsidRPr="00276BDC">
          <w:rPr>
            <w:szCs w:val="28"/>
          </w:rPr>
          <w:t>60 г</w:t>
        </w:r>
      </w:smartTag>
      <w:r w:rsidRPr="00276BDC">
        <w:rPr>
          <w:szCs w:val="28"/>
        </w:rPr>
        <w:t xml:space="preserve"> на </w:t>
      </w:r>
      <w:smartTag w:uri="urn:schemas-microsoft-com:office:smarttags" w:element="metricconverter">
        <w:smartTagPr>
          <w:attr w:name="ProductID" w:val="10 л"/>
        </w:smartTagPr>
        <w:r w:rsidRPr="00276BDC">
          <w:rPr>
            <w:szCs w:val="28"/>
          </w:rPr>
          <w:t>10 л</w:t>
        </w:r>
      </w:smartTag>
      <w:r w:rsidRPr="00276BDC">
        <w:rPr>
          <w:szCs w:val="28"/>
        </w:rPr>
        <w:t xml:space="preserve"> води.</w:t>
      </w:r>
    </w:p>
    <w:p w:rsidR="000C0C7C" w:rsidRPr="00276BDC" w:rsidRDefault="000C0C7C" w:rsidP="00276BDC">
      <w:pPr>
        <w:spacing w:line="276" w:lineRule="auto"/>
        <w:ind w:firstLine="851"/>
        <w:rPr>
          <w:szCs w:val="28"/>
        </w:rPr>
      </w:pPr>
      <w:r w:rsidRPr="00276BDC">
        <w:rPr>
          <w:b/>
          <w:bCs/>
          <w:i/>
          <w:iCs/>
          <w:szCs w:val="28"/>
        </w:rPr>
        <w:t>Розсаду томатів</w:t>
      </w:r>
      <w:r w:rsidRPr="00276BDC">
        <w:rPr>
          <w:bCs/>
          <w:szCs w:val="28"/>
        </w:rPr>
        <w:t xml:space="preserve"> краще вирощувати при помірному водопостачанні, провітрюванні теплиць і вологості повітря 65-70%. Якщо в період підготовки </w:t>
      </w:r>
      <w:proofErr w:type="spellStart"/>
      <w:r w:rsidRPr="00276BDC">
        <w:rPr>
          <w:bCs/>
          <w:szCs w:val="28"/>
        </w:rPr>
        <w:t>грунту</w:t>
      </w:r>
      <w:proofErr w:type="spellEnd"/>
      <w:r w:rsidRPr="00276BDC">
        <w:rPr>
          <w:bCs/>
          <w:szCs w:val="28"/>
        </w:rPr>
        <w:t xml:space="preserve"> для вирощування розсади він був заправлений добривами в недостатній кількості, то поливи розсади суміщають з двома-трьома підживленнями повним мінеральним</w:t>
      </w:r>
      <w:r w:rsidRPr="00276BDC">
        <w:rPr>
          <w:szCs w:val="28"/>
        </w:rPr>
        <w:t xml:space="preserve"> </w:t>
      </w:r>
      <w:r w:rsidRPr="00276BDC">
        <w:rPr>
          <w:bCs/>
          <w:szCs w:val="28"/>
        </w:rPr>
        <w:t>добривом. При першому підживленні (у фазі 2-3 справжніх 2 листочків) дають на м</w:t>
      </w:r>
      <w:r w:rsidRPr="00276BDC">
        <w:rPr>
          <w:bCs/>
          <w:szCs w:val="28"/>
          <w:vertAlign w:val="superscript"/>
        </w:rPr>
        <w:t>2</w:t>
      </w:r>
      <w:r w:rsidRPr="00276BDC">
        <w:rPr>
          <w:bCs/>
          <w:szCs w:val="28"/>
        </w:rPr>
        <w:t xml:space="preserve">: </w:t>
      </w:r>
      <w:smartTag w:uri="urn:schemas-microsoft-com:office:smarttags" w:element="metricconverter">
        <w:smartTagPr>
          <w:attr w:name="ProductID" w:val="5 г"/>
        </w:smartTagPr>
        <w:r w:rsidRPr="00276BDC">
          <w:rPr>
            <w:bCs/>
            <w:szCs w:val="28"/>
          </w:rPr>
          <w:t>5 г</w:t>
        </w:r>
      </w:smartTag>
      <w:r w:rsidRPr="00276BDC">
        <w:rPr>
          <w:bCs/>
          <w:szCs w:val="28"/>
        </w:rPr>
        <w:t xml:space="preserve"> аміачної селітри, </w:t>
      </w:r>
      <w:smartTag w:uri="urn:schemas-microsoft-com:office:smarttags" w:element="metricconverter">
        <w:smartTagPr>
          <w:attr w:name="ProductID" w:val="45 г"/>
        </w:smartTagPr>
        <w:r w:rsidRPr="00276BDC">
          <w:rPr>
            <w:bCs/>
            <w:szCs w:val="28"/>
          </w:rPr>
          <w:t>45 г</w:t>
        </w:r>
      </w:smartTag>
      <w:r w:rsidRPr="00276BDC">
        <w:rPr>
          <w:bCs/>
          <w:szCs w:val="28"/>
        </w:rPr>
        <w:t xml:space="preserve"> суперфосфату і </w:t>
      </w:r>
      <w:smartTag w:uri="urn:schemas-microsoft-com:office:smarttags" w:element="metricconverter">
        <w:smartTagPr>
          <w:attr w:name="ProductID" w:val="15 г"/>
        </w:smartTagPr>
        <w:r w:rsidRPr="00276BDC">
          <w:rPr>
            <w:bCs/>
            <w:szCs w:val="28"/>
          </w:rPr>
          <w:t>15 г</w:t>
        </w:r>
      </w:smartTag>
      <w:r w:rsidRPr="00276BDC">
        <w:rPr>
          <w:bCs/>
          <w:szCs w:val="28"/>
        </w:rPr>
        <w:t xml:space="preserve"> сірчанокислого калію, при другій - дози добрив збільшують в 2 рази. Якщо виникає загроза переростання розсади, особливо при загущенні її посівів, то з удобрення виключають аміачну селітру, а дозу суперфосфату збільшують до 40-</w:t>
      </w:r>
      <w:smartTag w:uri="urn:schemas-microsoft-com:office:smarttags" w:element="metricconverter">
        <w:smartTagPr>
          <w:attr w:name="ProductID" w:val="60 г"/>
        </w:smartTagPr>
        <w:r w:rsidRPr="00276BDC">
          <w:rPr>
            <w:bCs/>
            <w:szCs w:val="28"/>
          </w:rPr>
          <w:t>60 г</w:t>
        </w:r>
      </w:smartTag>
      <w:r w:rsidRPr="00276BDC">
        <w:rPr>
          <w:bCs/>
          <w:szCs w:val="28"/>
        </w:rPr>
        <w:t xml:space="preserve"> і сірчанокислого калію до 60- </w:t>
      </w:r>
      <w:smartTag w:uri="urn:schemas-microsoft-com:office:smarttags" w:element="metricconverter">
        <w:smartTagPr>
          <w:attr w:name="ProductID" w:val="80 г"/>
        </w:smartTagPr>
        <w:r w:rsidRPr="00276BDC">
          <w:rPr>
            <w:bCs/>
            <w:szCs w:val="28"/>
          </w:rPr>
          <w:t>80 г</w:t>
        </w:r>
      </w:smartTag>
      <w:r w:rsidRPr="00276BDC">
        <w:rPr>
          <w:bCs/>
          <w:szCs w:val="28"/>
        </w:rPr>
        <w:t xml:space="preserve"> на </w:t>
      </w:r>
      <w:smartTag w:uri="urn:schemas-microsoft-com:office:smarttags" w:element="metricconverter">
        <w:smartTagPr>
          <w:attr w:name="ProductID" w:val="1,5 м2"/>
        </w:smartTagPr>
        <w:r w:rsidRPr="00276BDC">
          <w:rPr>
            <w:bCs/>
            <w:szCs w:val="28"/>
          </w:rPr>
          <w:t>1,5 м</w:t>
        </w:r>
        <w:r w:rsidRPr="00276BDC">
          <w:rPr>
            <w:bCs/>
            <w:szCs w:val="28"/>
            <w:vertAlign w:val="superscript"/>
          </w:rPr>
          <w:t>2</w:t>
        </w:r>
      </w:smartTag>
      <w:r w:rsidRPr="00276BDC">
        <w:rPr>
          <w:bCs/>
          <w:szCs w:val="28"/>
        </w:rPr>
        <w:t xml:space="preserve"> (розведених в </w:t>
      </w:r>
      <w:smartTag w:uri="urn:schemas-microsoft-com:office:smarttags" w:element="metricconverter">
        <w:smartTagPr>
          <w:attr w:name="ProductID" w:val="10 л"/>
        </w:smartTagPr>
        <w:r w:rsidRPr="00276BDC">
          <w:rPr>
            <w:bCs/>
            <w:szCs w:val="28"/>
          </w:rPr>
          <w:t>10 л</w:t>
        </w:r>
      </w:smartTag>
      <w:r w:rsidRPr="00276BDC">
        <w:rPr>
          <w:bCs/>
          <w:szCs w:val="28"/>
        </w:rPr>
        <w:t xml:space="preserve"> води). Цією ж кількістю фосфорних та калійних добрив з додаванням </w:t>
      </w:r>
      <w:smartTag w:uri="urn:schemas-microsoft-com:office:smarttags" w:element="metricconverter">
        <w:smartTagPr>
          <w:attr w:name="ProductID" w:val="10 г"/>
        </w:smartTagPr>
        <w:r w:rsidRPr="00276BDC">
          <w:rPr>
            <w:bCs/>
            <w:szCs w:val="28"/>
          </w:rPr>
          <w:t>10 г</w:t>
        </w:r>
      </w:smartTag>
      <w:r w:rsidRPr="00276BDC">
        <w:rPr>
          <w:bCs/>
          <w:szCs w:val="28"/>
        </w:rPr>
        <w:t xml:space="preserve"> аміачної селітри проводять підживлення розсади за 1-2 дні до вибирання її з метою підвищення стійкості до несприятливих умов в період пересаджування.</w:t>
      </w:r>
    </w:p>
    <w:p w:rsidR="000C0C7C" w:rsidRPr="00276BDC" w:rsidRDefault="000C0C7C" w:rsidP="00276BDC">
      <w:pPr>
        <w:widowControl w:val="0"/>
        <w:spacing w:line="276" w:lineRule="auto"/>
        <w:ind w:left="20" w:right="20" w:firstLine="700"/>
        <w:rPr>
          <w:bCs/>
          <w:color w:val="000000"/>
          <w:spacing w:val="-12"/>
          <w:szCs w:val="28"/>
          <w:lang w:eastAsia="uk-UA"/>
        </w:rPr>
      </w:pPr>
      <w:r w:rsidRPr="00276BDC">
        <w:rPr>
          <w:b/>
          <w:bCs/>
          <w:i/>
          <w:iCs/>
          <w:color w:val="000000"/>
          <w:spacing w:val="-1"/>
          <w:szCs w:val="28"/>
        </w:rPr>
        <w:t>Розсаду перцю і баклажана</w:t>
      </w:r>
      <w:r w:rsidRPr="00276BDC">
        <w:rPr>
          <w:bCs/>
          <w:color w:val="000000"/>
          <w:spacing w:val="-12"/>
          <w:szCs w:val="28"/>
          <w:lang w:eastAsia="uk-UA"/>
        </w:rPr>
        <w:t xml:space="preserve"> вирощують без пікірування. Поливають її при зниженні вологості </w:t>
      </w:r>
      <w:proofErr w:type="spellStart"/>
      <w:r w:rsidRPr="00276BDC">
        <w:rPr>
          <w:bCs/>
          <w:color w:val="000000"/>
          <w:spacing w:val="-12"/>
          <w:szCs w:val="28"/>
          <w:lang w:eastAsia="uk-UA"/>
        </w:rPr>
        <w:t>грунту</w:t>
      </w:r>
      <w:proofErr w:type="spellEnd"/>
      <w:r w:rsidRPr="00276BDC">
        <w:rPr>
          <w:bCs/>
          <w:color w:val="000000"/>
          <w:spacing w:val="-12"/>
          <w:szCs w:val="28"/>
          <w:lang w:eastAsia="uk-UA"/>
        </w:rPr>
        <w:t xml:space="preserve"> до 70-75% польової вологоємності в період від сівби до появи сходів і до 60-65% - в період від появи сходів до передпосадкового загартування рослин. При вирощуванні розсади перцю і баклажанів дозу аміачної селітри при підживленні збільшують до 20-</w:t>
      </w:r>
      <w:smartTag w:uri="urn:schemas-microsoft-com:office:smarttags" w:element="metricconverter">
        <w:smartTagPr>
          <w:attr w:name="ProductID" w:val="30 г"/>
        </w:smartTagPr>
        <w:r w:rsidRPr="00276BDC">
          <w:rPr>
            <w:bCs/>
            <w:color w:val="000000"/>
            <w:spacing w:val="-12"/>
            <w:szCs w:val="28"/>
            <w:lang w:eastAsia="uk-UA"/>
          </w:rPr>
          <w:t>30 г</w:t>
        </w:r>
      </w:smartTag>
      <w:r w:rsidRPr="00276BDC">
        <w:rPr>
          <w:bCs/>
          <w:color w:val="000000"/>
          <w:spacing w:val="-12"/>
          <w:szCs w:val="28"/>
          <w:lang w:eastAsia="uk-UA"/>
        </w:rPr>
        <w:t>, суперфосфату дають   40-</w:t>
      </w:r>
      <w:smartTag w:uri="urn:schemas-microsoft-com:office:smarttags" w:element="metricconverter">
        <w:smartTagPr>
          <w:attr w:name="ProductID" w:val="80 г"/>
        </w:smartTagPr>
        <w:r w:rsidRPr="00276BDC">
          <w:rPr>
            <w:bCs/>
            <w:color w:val="000000"/>
            <w:spacing w:val="-12"/>
            <w:szCs w:val="28"/>
            <w:lang w:eastAsia="uk-UA"/>
          </w:rPr>
          <w:t>80 г</w:t>
        </w:r>
      </w:smartTag>
      <w:r w:rsidRPr="00276BDC">
        <w:rPr>
          <w:bCs/>
          <w:color w:val="000000"/>
          <w:spacing w:val="-12"/>
          <w:szCs w:val="28"/>
          <w:lang w:eastAsia="uk-UA"/>
        </w:rPr>
        <w:t xml:space="preserve"> і сірчанокислого </w:t>
      </w:r>
      <w:r w:rsidRPr="00276BDC">
        <w:rPr>
          <w:bCs/>
          <w:color w:val="000000"/>
          <w:spacing w:val="-12"/>
          <w:szCs w:val="28"/>
          <w:lang w:eastAsia="uk-UA"/>
        </w:rPr>
        <w:lastRenderedPageBreak/>
        <w:t>калію 15-</w:t>
      </w:r>
      <w:smartTag w:uri="urn:schemas-microsoft-com:office:smarttags" w:element="metricconverter">
        <w:smartTagPr>
          <w:attr w:name="ProductID" w:val="20 г"/>
        </w:smartTagPr>
        <w:r w:rsidRPr="00276BDC">
          <w:rPr>
            <w:bCs/>
            <w:color w:val="000000"/>
            <w:spacing w:val="-12"/>
            <w:szCs w:val="28"/>
            <w:lang w:eastAsia="uk-UA"/>
          </w:rPr>
          <w:t>20 г</w:t>
        </w:r>
      </w:smartTag>
      <w:r w:rsidRPr="00276BDC">
        <w:rPr>
          <w:bCs/>
          <w:color w:val="000000"/>
          <w:spacing w:val="-12"/>
          <w:szCs w:val="28"/>
          <w:lang w:eastAsia="uk-UA"/>
        </w:rPr>
        <w:t xml:space="preserve"> на 1,0-</w:t>
      </w:r>
      <w:smartTag w:uri="urn:schemas-microsoft-com:office:smarttags" w:element="metricconverter">
        <w:smartTagPr>
          <w:attr w:name="ProductID" w:val="1,5 м2"/>
        </w:smartTagPr>
        <w:r w:rsidRPr="00276BDC">
          <w:rPr>
            <w:bCs/>
            <w:color w:val="000000"/>
            <w:spacing w:val="-12"/>
            <w:szCs w:val="28"/>
            <w:lang w:eastAsia="uk-UA"/>
          </w:rPr>
          <w:t>1,5 м</w:t>
        </w:r>
        <w:r w:rsidRPr="00276BDC">
          <w:rPr>
            <w:bCs/>
            <w:color w:val="000000"/>
            <w:spacing w:val="-12"/>
            <w:szCs w:val="28"/>
            <w:vertAlign w:val="superscript"/>
            <w:lang w:eastAsia="uk-UA"/>
          </w:rPr>
          <w:t>2</w:t>
        </w:r>
      </w:smartTag>
      <w:r w:rsidRPr="00276BDC">
        <w:rPr>
          <w:bCs/>
          <w:color w:val="000000"/>
          <w:spacing w:val="-12"/>
          <w:szCs w:val="28"/>
          <w:lang w:eastAsia="uk-UA"/>
        </w:rPr>
        <w:t>. В інших питаннях умови схожі з вирощуванням розсади томатів.</w:t>
      </w:r>
    </w:p>
    <w:p w:rsidR="000C0C7C" w:rsidRPr="00276BDC" w:rsidRDefault="000C0C7C" w:rsidP="00276BDC">
      <w:pPr>
        <w:widowControl w:val="0"/>
        <w:spacing w:after="60" w:line="276" w:lineRule="auto"/>
        <w:ind w:left="20" w:right="20" w:firstLine="831"/>
        <w:rPr>
          <w:spacing w:val="5"/>
          <w:szCs w:val="28"/>
        </w:rPr>
      </w:pPr>
      <w:r w:rsidRPr="00276BDC">
        <w:rPr>
          <w:bCs/>
          <w:iCs/>
          <w:color w:val="000000"/>
          <w:spacing w:val="-1"/>
          <w:szCs w:val="28"/>
        </w:rPr>
        <w:t xml:space="preserve">Для підвищення стійкості розсади до хвороб застосовують післяпосівне опудрювання поверхні ґрунту в теплицях, парниках, посівних ящиках чи касетах деревним попелом, меленою або колоїдною сіркою. </w:t>
      </w:r>
      <w:r w:rsidRPr="00276BDC">
        <w:rPr>
          <w:bCs/>
          <w:color w:val="000000"/>
          <w:szCs w:val="28"/>
          <w:lang w:eastAsia="uk-UA"/>
        </w:rPr>
        <w:t>Поливи слід проводити через ситечко з дрібним розпилом зазвичай в першій половині дня водою (краще талою з температурою +20...+27°С залежно від вирощуваної культури за вимогливістю до тепла). Ні в якому випадку не допускати застою води на поверхні ґрунту (не перезволожувати).</w:t>
      </w:r>
    </w:p>
    <w:p w:rsidR="000C0C7C" w:rsidRPr="00276BDC" w:rsidRDefault="000C0C7C" w:rsidP="00276BDC">
      <w:pPr>
        <w:widowControl w:val="0"/>
        <w:spacing w:after="60" w:line="276" w:lineRule="auto"/>
        <w:ind w:left="20" w:right="20" w:firstLine="831"/>
        <w:rPr>
          <w:bCs/>
          <w:color w:val="000000"/>
          <w:szCs w:val="28"/>
          <w:lang w:eastAsia="uk-UA"/>
        </w:rPr>
      </w:pPr>
      <w:r w:rsidRPr="00276BDC">
        <w:rPr>
          <w:bCs/>
          <w:color w:val="000000"/>
          <w:szCs w:val="28"/>
          <w:lang w:eastAsia="uk-UA"/>
        </w:rPr>
        <w:t>Для профілактики пошкодження рослин чорною ніжкою чи кореневими гнилями особливо при вирощуванні розсади в кімнатних умовах рослини 1-2 рази поливають слабким розчином калію марганцевокислого (3-</w:t>
      </w:r>
      <w:smartTag w:uri="urn:schemas-microsoft-com:office:smarttags" w:element="metricconverter">
        <w:smartTagPr>
          <w:attr w:name="ProductID" w:val="5 г"/>
        </w:smartTagPr>
        <w:r w:rsidRPr="00276BDC">
          <w:rPr>
            <w:bCs/>
            <w:color w:val="000000"/>
            <w:szCs w:val="28"/>
            <w:lang w:eastAsia="uk-UA"/>
          </w:rPr>
          <w:t>5 г</w:t>
        </w:r>
      </w:smartTag>
      <w:r w:rsidRPr="00276BDC">
        <w:rPr>
          <w:bCs/>
          <w:color w:val="000000"/>
          <w:szCs w:val="28"/>
          <w:lang w:eastAsia="uk-UA"/>
        </w:rPr>
        <w:t xml:space="preserve"> на </w:t>
      </w:r>
      <w:smartTag w:uri="urn:schemas-microsoft-com:office:smarttags" w:element="metricconverter">
        <w:smartTagPr>
          <w:attr w:name="ProductID" w:val="10 л"/>
        </w:smartTagPr>
        <w:r w:rsidRPr="00276BDC">
          <w:rPr>
            <w:bCs/>
            <w:color w:val="000000"/>
            <w:szCs w:val="28"/>
            <w:lang w:eastAsia="uk-UA"/>
          </w:rPr>
          <w:t>10 л</w:t>
        </w:r>
      </w:smartTag>
      <w:r w:rsidRPr="00276BDC">
        <w:rPr>
          <w:bCs/>
          <w:color w:val="000000"/>
          <w:szCs w:val="28"/>
          <w:lang w:eastAsia="uk-UA"/>
        </w:rPr>
        <w:t xml:space="preserve"> води) та регулярно провітрюють приміщення, де її вирощують. Досить часто (особливо при «витягуванні» розсади) після підживлень чи поливів рослини підсипають сухим торфом з додаванням невеликої кількості попелу або ґрунтовою сумішшю для розсади з попелом. При появі ознак хвороби (чорна ніжка, гнилі) поливи слід припинити, а місця захворювання опудрити деревним попелом до якого додати меленої сірки.</w:t>
      </w:r>
    </w:p>
    <w:p w:rsidR="000C0C7C" w:rsidRPr="00276BDC" w:rsidRDefault="000C0C7C" w:rsidP="00276BDC">
      <w:pPr>
        <w:widowControl w:val="0"/>
        <w:spacing w:after="60" w:line="276" w:lineRule="auto"/>
        <w:ind w:left="20" w:right="20" w:firstLine="831"/>
        <w:rPr>
          <w:spacing w:val="5"/>
          <w:szCs w:val="28"/>
        </w:rPr>
      </w:pPr>
      <w:r w:rsidRPr="00276BDC">
        <w:rPr>
          <w:bCs/>
          <w:color w:val="000000"/>
          <w:szCs w:val="28"/>
          <w:lang w:eastAsia="uk-UA"/>
        </w:rPr>
        <w:t xml:space="preserve">Попередження ураження розсади всіх овочевих рослин кореневими і стебловими гнилями при вирощуванні розсади в теплицях чи парниках забезпечує використання препаратів: </w:t>
      </w:r>
      <w:proofErr w:type="spellStart"/>
      <w:r w:rsidRPr="00276BDC">
        <w:rPr>
          <w:bCs/>
          <w:color w:val="000000"/>
          <w:szCs w:val="28"/>
          <w:lang w:eastAsia="uk-UA"/>
        </w:rPr>
        <w:t>Арцерид</w:t>
      </w:r>
      <w:proofErr w:type="spellEnd"/>
      <w:r w:rsidRPr="00276BDC">
        <w:rPr>
          <w:bCs/>
          <w:color w:val="000000"/>
          <w:szCs w:val="28"/>
          <w:lang w:eastAsia="uk-UA"/>
        </w:rPr>
        <w:t xml:space="preserve"> - 0,03% розчин, </w:t>
      </w:r>
      <w:proofErr w:type="spellStart"/>
      <w:r w:rsidRPr="00276BDC">
        <w:rPr>
          <w:bCs/>
          <w:color w:val="000000"/>
          <w:szCs w:val="28"/>
          <w:lang w:eastAsia="uk-UA"/>
        </w:rPr>
        <w:t>Купроксат</w:t>
      </w:r>
      <w:proofErr w:type="spellEnd"/>
      <w:r w:rsidRPr="00276BDC">
        <w:rPr>
          <w:bCs/>
          <w:color w:val="000000"/>
          <w:szCs w:val="28"/>
          <w:lang w:eastAsia="uk-UA"/>
        </w:rPr>
        <w:t xml:space="preserve">, </w:t>
      </w:r>
      <w:proofErr w:type="spellStart"/>
      <w:r w:rsidRPr="00276BDC">
        <w:rPr>
          <w:bCs/>
          <w:color w:val="000000"/>
          <w:szCs w:val="28"/>
          <w:lang w:eastAsia="uk-UA"/>
        </w:rPr>
        <w:t>Превікур</w:t>
      </w:r>
      <w:proofErr w:type="spellEnd"/>
      <w:r w:rsidRPr="00276BDC">
        <w:rPr>
          <w:bCs/>
          <w:color w:val="000000"/>
          <w:szCs w:val="28"/>
          <w:lang w:eastAsia="uk-UA"/>
        </w:rPr>
        <w:t xml:space="preserve"> - полив рослин при появі сходів - 15 мл на </w:t>
      </w:r>
      <w:smartTag w:uri="urn:schemas-microsoft-com:office:smarttags" w:element="metricconverter">
        <w:smartTagPr>
          <w:attr w:name="ProductID" w:val="10 л"/>
        </w:smartTagPr>
        <w:r w:rsidRPr="00276BDC">
          <w:rPr>
            <w:bCs/>
            <w:color w:val="000000"/>
            <w:szCs w:val="28"/>
            <w:lang w:eastAsia="uk-UA"/>
          </w:rPr>
          <w:t>10 л</w:t>
        </w:r>
      </w:smartTag>
      <w:r w:rsidRPr="00276BDC">
        <w:rPr>
          <w:bCs/>
          <w:color w:val="000000"/>
          <w:szCs w:val="28"/>
          <w:lang w:eastAsia="uk-UA"/>
        </w:rPr>
        <w:t xml:space="preserve"> води - 2-</w:t>
      </w:r>
      <w:smartTag w:uri="urn:schemas-microsoft-com:office:smarttags" w:element="metricconverter">
        <w:smartTagPr>
          <w:attr w:name="ProductID" w:val="4 л"/>
        </w:smartTagPr>
        <w:r w:rsidRPr="00276BDC">
          <w:rPr>
            <w:bCs/>
            <w:color w:val="000000"/>
            <w:szCs w:val="28"/>
            <w:lang w:eastAsia="uk-UA"/>
          </w:rPr>
          <w:t>4 л</w:t>
        </w:r>
      </w:smartTag>
      <w:r w:rsidRPr="00276BDC">
        <w:rPr>
          <w:bCs/>
          <w:color w:val="000000"/>
          <w:szCs w:val="28"/>
          <w:lang w:eastAsia="uk-UA"/>
        </w:rPr>
        <w:t xml:space="preserve"> на </w:t>
      </w:r>
      <w:smartTag w:uri="urn:schemas-microsoft-com:office:smarttags" w:element="metricconverter">
        <w:smartTagPr>
          <w:attr w:name="ProductID" w:val="10 м2"/>
        </w:smartTagPr>
        <w:r w:rsidRPr="00276BDC">
          <w:rPr>
            <w:bCs/>
            <w:color w:val="000000"/>
            <w:szCs w:val="28"/>
            <w:lang w:eastAsia="uk-UA"/>
          </w:rPr>
          <w:t>10 м</w:t>
        </w:r>
        <w:r w:rsidRPr="00276BDC">
          <w:rPr>
            <w:bCs/>
            <w:color w:val="000000"/>
            <w:szCs w:val="28"/>
            <w:vertAlign w:val="superscript"/>
            <w:lang w:eastAsia="uk-UA"/>
          </w:rPr>
          <w:t>2</w:t>
        </w:r>
      </w:smartTag>
      <w:r w:rsidRPr="00276BDC">
        <w:rPr>
          <w:bCs/>
          <w:color w:val="000000"/>
          <w:szCs w:val="28"/>
          <w:lang w:eastAsia="uk-UA"/>
        </w:rPr>
        <w:t xml:space="preserve"> і повторно через 18-25 діб.</w:t>
      </w:r>
    </w:p>
    <w:p w:rsidR="000C0C7C" w:rsidRPr="00276BDC" w:rsidRDefault="000C0C7C" w:rsidP="00276BDC">
      <w:pPr>
        <w:widowControl w:val="0"/>
        <w:spacing w:after="60" w:line="276" w:lineRule="auto"/>
        <w:ind w:left="20" w:right="20" w:firstLine="831"/>
        <w:rPr>
          <w:spacing w:val="5"/>
          <w:szCs w:val="28"/>
        </w:rPr>
      </w:pPr>
      <w:r w:rsidRPr="00276BDC">
        <w:rPr>
          <w:bCs/>
          <w:color w:val="000000"/>
          <w:szCs w:val="28"/>
          <w:lang w:eastAsia="uk-UA"/>
        </w:rPr>
        <w:t xml:space="preserve">Останнім часом знаходить поширення використання препарату системної дії </w:t>
      </w:r>
      <w:proofErr w:type="spellStart"/>
      <w:r w:rsidRPr="00276BDC">
        <w:rPr>
          <w:bCs/>
          <w:color w:val="000000"/>
          <w:szCs w:val="28"/>
          <w:lang w:eastAsia="uk-UA"/>
        </w:rPr>
        <w:t>Превікур</w:t>
      </w:r>
      <w:proofErr w:type="spellEnd"/>
      <w:r w:rsidRPr="00276BDC">
        <w:rPr>
          <w:bCs/>
          <w:color w:val="000000"/>
          <w:szCs w:val="28"/>
          <w:lang w:eastAsia="uk-UA"/>
        </w:rPr>
        <w:t xml:space="preserve"> </w:t>
      </w:r>
      <w:proofErr w:type="spellStart"/>
      <w:r w:rsidRPr="00276BDC">
        <w:rPr>
          <w:bCs/>
          <w:color w:val="000000"/>
          <w:szCs w:val="28"/>
          <w:lang w:eastAsia="uk-UA"/>
        </w:rPr>
        <w:t>енерджі</w:t>
      </w:r>
      <w:proofErr w:type="spellEnd"/>
      <w:r w:rsidRPr="00276BDC">
        <w:rPr>
          <w:bCs/>
          <w:color w:val="000000"/>
          <w:szCs w:val="28"/>
          <w:lang w:eastAsia="uk-UA"/>
        </w:rPr>
        <w:t xml:space="preserve">, який забезпечує і профілактичну дію завдяки властивостям </w:t>
      </w:r>
      <w:proofErr w:type="spellStart"/>
      <w:r w:rsidRPr="00276BDC">
        <w:rPr>
          <w:bCs/>
          <w:color w:val="000000"/>
          <w:szCs w:val="28"/>
          <w:lang w:eastAsia="uk-UA"/>
        </w:rPr>
        <w:t>імуностимулятора</w:t>
      </w:r>
      <w:proofErr w:type="spellEnd"/>
      <w:r w:rsidRPr="00276BDC">
        <w:rPr>
          <w:bCs/>
          <w:color w:val="000000"/>
          <w:szCs w:val="28"/>
          <w:lang w:eastAsia="uk-UA"/>
        </w:rPr>
        <w:t xml:space="preserve"> (підвищує стійкість рослин до хвороб). </w:t>
      </w:r>
    </w:p>
    <w:p w:rsidR="00DB2B86" w:rsidRPr="00276BDC" w:rsidRDefault="00845EE1" w:rsidP="00276BDC">
      <w:pPr>
        <w:spacing w:line="276" w:lineRule="auto"/>
        <w:rPr>
          <w:szCs w:val="28"/>
          <w:lang w:val="ru-RU"/>
        </w:rPr>
      </w:pPr>
      <w:r w:rsidRPr="00276BDC">
        <w:rPr>
          <w:szCs w:val="28"/>
        </w:rPr>
        <w:t xml:space="preserve">Друга – третя декада березня – період підготовки насіння овочевих, особливо ранніх строків сівби(цибуля, морква, петрушка, щавель, кріп, редис, пастернак та інші). При цьому слід визначити господарську придатність його, уточнити сортовий склад. В окремі роки сівбу ранніх овочевих </w:t>
      </w:r>
      <w:r w:rsidR="00403A40" w:rsidRPr="00276BDC">
        <w:rPr>
          <w:szCs w:val="28"/>
        </w:rPr>
        <w:t xml:space="preserve">( цибулі з насіння, петрушки, кропу, </w:t>
      </w:r>
      <w:proofErr w:type="spellStart"/>
      <w:r w:rsidR="00403A40" w:rsidRPr="00276BDC">
        <w:rPr>
          <w:szCs w:val="28"/>
        </w:rPr>
        <w:t>щавелю</w:t>
      </w:r>
      <w:proofErr w:type="spellEnd"/>
      <w:r w:rsidR="00403A40" w:rsidRPr="00276BDC">
        <w:rPr>
          <w:szCs w:val="28"/>
        </w:rPr>
        <w:t xml:space="preserve">, моркви, пастернаку </w:t>
      </w:r>
      <w:proofErr w:type="spellStart"/>
      <w:r w:rsidR="00403A40" w:rsidRPr="00276BDC">
        <w:rPr>
          <w:szCs w:val="28"/>
        </w:rPr>
        <w:t>редиса</w:t>
      </w:r>
      <w:proofErr w:type="spellEnd"/>
      <w:r w:rsidR="00403A40" w:rsidRPr="00276BDC">
        <w:rPr>
          <w:szCs w:val="28"/>
        </w:rPr>
        <w:t xml:space="preserve"> і інших </w:t>
      </w:r>
      <w:proofErr w:type="spellStart"/>
      <w:r w:rsidR="00403A40" w:rsidRPr="00276BDC">
        <w:rPr>
          <w:szCs w:val="28"/>
        </w:rPr>
        <w:t>холодостійки</w:t>
      </w:r>
      <w:proofErr w:type="spellEnd"/>
      <w:r w:rsidR="00403A40" w:rsidRPr="00276BDC">
        <w:rPr>
          <w:szCs w:val="28"/>
        </w:rPr>
        <w:t xml:space="preserve"> рослин) </w:t>
      </w:r>
      <w:r w:rsidRPr="00276BDC">
        <w:rPr>
          <w:szCs w:val="28"/>
        </w:rPr>
        <w:t>в умовах області проводять в третій декаді березня.</w:t>
      </w:r>
    </w:p>
    <w:p w:rsidR="00276BDC" w:rsidRPr="0068144B" w:rsidRDefault="00276BDC" w:rsidP="00276BDC">
      <w:pPr>
        <w:shd w:val="clear" w:color="auto" w:fill="FFFFFF"/>
        <w:spacing w:line="276" w:lineRule="auto"/>
        <w:jc w:val="center"/>
        <w:rPr>
          <w:b/>
          <w:color w:val="000000"/>
          <w:szCs w:val="28"/>
        </w:rPr>
      </w:pPr>
      <w:r w:rsidRPr="0068144B">
        <w:rPr>
          <w:b/>
          <w:color w:val="000000"/>
          <w:szCs w:val="28"/>
        </w:rPr>
        <w:t>Насінництво</w:t>
      </w:r>
    </w:p>
    <w:p w:rsidR="00276BDC" w:rsidRPr="0068144B" w:rsidRDefault="00276BDC" w:rsidP="00276BDC">
      <w:pPr>
        <w:tabs>
          <w:tab w:val="left" w:pos="360"/>
        </w:tabs>
        <w:spacing w:line="276" w:lineRule="auto"/>
        <w:rPr>
          <w:rStyle w:val="a4"/>
          <w:color w:val="2C2C2C"/>
          <w:szCs w:val="28"/>
        </w:rPr>
      </w:pPr>
      <w:r>
        <w:rPr>
          <w:color w:val="000000"/>
          <w:spacing w:val="-2"/>
          <w:szCs w:val="28"/>
        </w:rPr>
        <w:tab/>
      </w:r>
      <w:r w:rsidRPr="0068144B">
        <w:rPr>
          <w:color w:val="000000"/>
          <w:spacing w:val="-2"/>
          <w:szCs w:val="28"/>
        </w:rPr>
        <w:t>Інститут сільського господарства Північного Сходу НААН пропонує вис</w:t>
      </w:r>
      <w:r>
        <w:rPr>
          <w:color w:val="000000"/>
          <w:spacing w:val="-2"/>
          <w:szCs w:val="28"/>
        </w:rPr>
        <w:t xml:space="preserve">окоякісне насіння   коноплі сорту </w:t>
      </w:r>
      <w:proofErr w:type="spellStart"/>
      <w:r>
        <w:rPr>
          <w:color w:val="000000"/>
          <w:spacing w:val="-2"/>
          <w:szCs w:val="28"/>
        </w:rPr>
        <w:t>Гляна</w:t>
      </w:r>
      <w:proofErr w:type="spellEnd"/>
      <w:r w:rsidRPr="0068144B">
        <w:rPr>
          <w:rStyle w:val="a4"/>
          <w:color w:val="2C2C2C"/>
          <w:szCs w:val="28"/>
        </w:rPr>
        <w:t xml:space="preserve"> </w:t>
      </w:r>
    </w:p>
    <w:p w:rsidR="00276BDC" w:rsidRPr="00DE0EE1" w:rsidRDefault="00276BDC" w:rsidP="00276BDC">
      <w:pPr>
        <w:spacing w:line="276" w:lineRule="auto"/>
        <w:ind w:firstLine="708"/>
        <w:rPr>
          <w:szCs w:val="28"/>
        </w:rPr>
      </w:pPr>
      <w:r>
        <w:rPr>
          <w:szCs w:val="28"/>
        </w:rPr>
        <w:t>Оригінатор:</w:t>
      </w:r>
      <w:r w:rsidRPr="00DE0EE1">
        <w:rPr>
          <w:szCs w:val="28"/>
        </w:rPr>
        <w:t xml:space="preserve"> І</w:t>
      </w:r>
      <w:r>
        <w:rPr>
          <w:szCs w:val="28"/>
        </w:rPr>
        <w:t>нститут луб’яних культур  Національної</w:t>
      </w:r>
      <w:r w:rsidRPr="00DE0EE1">
        <w:rPr>
          <w:szCs w:val="28"/>
        </w:rPr>
        <w:t xml:space="preserve"> академії аграрних наук.</w:t>
      </w:r>
    </w:p>
    <w:p w:rsidR="00276BDC" w:rsidRPr="00DE0EE1" w:rsidRDefault="00276BDC" w:rsidP="00276BDC">
      <w:pPr>
        <w:spacing w:line="276" w:lineRule="auto"/>
        <w:ind w:firstLine="708"/>
        <w:rPr>
          <w:szCs w:val="28"/>
        </w:rPr>
      </w:pPr>
      <w:r w:rsidRPr="00DE0EE1">
        <w:rPr>
          <w:szCs w:val="28"/>
        </w:rPr>
        <w:t>Рік внесення до Державного реєстру сортів рослин України: 2007.</w:t>
      </w:r>
    </w:p>
    <w:p w:rsidR="00276BDC" w:rsidRPr="00DE0EE1" w:rsidRDefault="00276BDC" w:rsidP="00276BDC">
      <w:pPr>
        <w:spacing w:line="276" w:lineRule="auto"/>
        <w:rPr>
          <w:szCs w:val="28"/>
        </w:rPr>
      </w:pPr>
      <w:r w:rsidRPr="00DE0EE1">
        <w:rPr>
          <w:szCs w:val="28"/>
        </w:rPr>
        <w:t xml:space="preserve">Паросток з ланцетоподібною формою сім’ядолею, а антоціановим забарвленням гіпокотиля. Рослина однодомна, за висотою низька (181-229 см), </w:t>
      </w:r>
      <w:r w:rsidRPr="00DE0EE1">
        <w:rPr>
          <w:szCs w:val="28"/>
        </w:rPr>
        <w:lastRenderedPageBreak/>
        <w:t>верхівка зелена.</w:t>
      </w:r>
      <w:r>
        <w:rPr>
          <w:szCs w:val="28"/>
        </w:rPr>
        <w:t xml:space="preserve"> </w:t>
      </w:r>
      <w:r w:rsidRPr="00DE0EE1">
        <w:rPr>
          <w:szCs w:val="28"/>
        </w:rPr>
        <w:t>Центральна частка листка за довжиною довга (&lt;16,2 см), за шириною середня (2,2-2,7 см). Суцвіття за формою ромбічне, середньо компактне, за довжиною середнє (51-70,0 см), за шириною середнє (5,8-8,6), розміщення чоловічих квіток на квітконосному пагоні щільне (однодомні). Насінина сіра.</w:t>
      </w:r>
    </w:p>
    <w:p w:rsidR="00276BDC" w:rsidRPr="00DE0EE1" w:rsidRDefault="00F06E0A" w:rsidP="00276BDC">
      <w:pPr>
        <w:spacing w:line="276" w:lineRule="auto"/>
        <w:ind w:firstLine="708"/>
        <w:rPr>
          <w:szCs w:val="28"/>
        </w:rPr>
      </w:pPr>
      <w:r>
        <w:rPr>
          <w:szCs w:val="28"/>
        </w:rPr>
        <w:t>За даними заявника: у</w:t>
      </w:r>
      <w:r w:rsidR="00276BDC" w:rsidRPr="00DE0EE1">
        <w:rPr>
          <w:szCs w:val="28"/>
        </w:rPr>
        <w:t>рожайність соломки 64,2 ц/га, насіння – 16 ц/га; вміст всього волокна 32,7 %, довгого волокна 24,7 %. Середній номер волокна 1; розривне навантаження 34,2 кгс. Вміст ТГК 0,001 %. Сорт відносно стійкий до вилягання, осипання, посухи. Ураження хворобами та пошкодження шкідниками на рівні 8-9 балів.</w:t>
      </w:r>
    </w:p>
    <w:p w:rsidR="00276BDC" w:rsidRPr="00276BDC" w:rsidRDefault="00276BDC" w:rsidP="00276BDC">
      <w:pPr>
        <w:spacing w:line="276" w:lineRule="auto"/>
        <w:rPr>
          <w:lang w:val="ru-RU"/>
        </w:rPr>
      </w:pPr>
    </w:p>
    <w:p w:rsidR="008B3EBD" w:rsidRPr="00287B6E" w:rsidRDefault="008B3EBD" w:rsidP="00276BDC">
      <w:pPr>
        <w:spacing w:line="276" w:lineRule="auto"/>
        <w:rPr>
          <w:lang w:val="ru-RU"/>
        </w:rPr>
      </w:pPr>
    </w:p>
    <w:p w:rsidR="008B3EBD" w:rsidRDefault="008B3EBD" w:rsidP="008B3EBD">
      <w:pPr>
        <w:spacing w:line="240" w:lineRule="auto"/>
        <w:ind w:firstLine="0"/>
        <w:rPr>
          <w:rFonts w:eastAsia="Times New Roman" w:cs="Times New Roman"/>
          <w:b/>
          <w:szCs w:val="28"/>
          <w:lang w:eastAsia="ru-RU"/>
        </w:rPr>
      </w:pPr>
      <w:r>
        <w:rPr>
          <w:rFonts w:eastAsia="Times New Roman" w:cs="Times New Roman"/>
          <w:b/>
          <w:szCs w:val="28"/>
          <w:lang w:eastAsia="ru-RU"/>
        </w:rPr>
        <w:t xml:space="preserve">Заступник директора </w:t>
      </w:r>
    </w:p>
    <w:p w:rsidR="008B3EBD" w:rsidRDefault="008B3EBD" w:rsidP="008B3EBD">
      <w:pPr>
        <w:spacing w:line="240" w:lineRule="auto"/>
        <w:ind w:left="426" w:hanging="426"/>
        <w:rPr>
          <w:rFonts w:eastAsia="Times New Roman" w:cs="Times New Roman"/>
          <w:b/>
          <w:szCs w:val="28"/>
          <w:lang w:eastAsia="ru-RU"/>
        </w:rPr>
      </w:pPr>
      <w:r>
        <w:rPr>
          <w:rFonts w:eastAsia="Times New Roman" w:cs="Times New Roman"/>
          <w:b/>
          <w:szCs w:val="28"/>
          <w:lang w:eastAsia="ru-RU"/>
        </w:rPr>
        <w:t xml:space="preserve">ІСГ Північного Сходу НААН  </w:t>
      </w:r>
    </w:p>
    <w:p w:rsidR="008B3EBD" w:rsidRPr="00B1746B" w:rsidRDefault="008B3EBD" w:rsidP="008B3EBD">
      <w:pPr>
        <w:ind w:firstLine="0"/>
      </w:pPr>
      <w:r>
        <w:rPr>
          <w:rFonts w:eastAsia="Times New Roman" w:cs="Times New Roman"/>
          <w:b/>
          <w:szCs w:val="28"/>
          <w:lang w:eastAsia="ru-RU"/>
        </w:rPr>
        <w:t xml:space="preserve">з наукової    роботи                                                                       М.Г. Собко                                                                         </w:t>
      </w:r>
    </w:p>
    <w:p w:rsidR="008B3EBD" w:rsidRPr="008B3EBD" w:rsidRDefault="008B3EBD" w:rsidP="009D7070">
      <w:pPr>
        <w:spacing w:line="276" w:lineRule="auto"/>
      </w:pPr>
    </w:p>
    <w:sectPr w:rsidR="008B3EBD" w:rsidRPr="008B3E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CC"/>
    <w:rsid w:val="000C0C7C"/>
    <w:rsid w:val="00276BDC"/>
    <w:rsid w:val="00287B6E"/>
    <w:rsid w:val="00403A40"/>
    <w:rsid w:val="00845EE1"/>
    <w:rsid w:val="008B3EBD"/>
    <w:rsid w:val="009462CC"/>
    <w:rsid w:val="00953BA2"/>
    <w:rsid w:val="00977FA0"/>
    <w:rsid w:val="0099332F"/>
    <w:rsid w:val="009B5C42"/>
    <w:rsid w:val="009D7070"/>
    <w:rsid w:val="00BD05A3"/>
    <w:rsid w:val="00DB2B86"/>
    <w:rsid w:val="00F06E0A"/>
    <w:rsid w:val="00F1619A"/>
    <w:rsid w:val="00FC33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67"/>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BD05A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D05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5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05A3"/>
    <w:rPr>
      <w:rFonts w:asciiTheme="majorHAnsi" w:eastAsiaTheme="majorEastAsia" w:hAnsiTheme="majorHAnsi" w:cstheme="majorBidi"/>
      <w:b/>
      <w:bCs/>
      <w:color w:val="4F81BD" w:themeColor="accent1"/>
      <w:sz w:val="26"/>
      <w:szCs w:val="26"/>
    </w:rPr>
  </w:style>
  <w:style w:type="paragraph" w:styleId="a3">
    <w:name w:val="No Spacing"/>
    <w:uiPriority w:val="1"/>
    <w:qFormat/>
    <w:rsid w:val="00BD05A3"/>
    <w:pPr>
      <w:spacing w:after="0" w:line="240" w:lineRule="auto"/>
      <w:ind w:firstLine="709"/>
      <w:jc w:val="both"/>
    </w:pPr>
    <w:rPr>
      <w:rFonts w:ascii="Times New Roman" w:hAnsi="Times New Roman"/>
      <w:sz w:val="28"/>
    </w:rPr>
  </w:style>
  <w:style w:type="character" w:styleId="a4">
    <w:name w:val="Strong"/>
    <w:basedOn w:val="a0"/>
    <w:qFormat/>
    <w:rsid w:val="00276B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67"/>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BD05A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D05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5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05A3"/>
    <w:rPr>
      <w:rFonts w:asciiTheme="majorHAnsi" w:eastAsiaTheme="majorEastAsia" w:hAnsiTheme="majorHAnsi" w:cstheme="majorBidi"/>
      <w:b/>
      <w:bCs/>
      <w:color w:val="4F81BD" w:themeColor="accent1"/>
      <w:sz w:val="26"/>
      <w:szCs w:val="26"/>
    </w:rPr>
  </w:style>
  <w:style w:type="paragraph" w:styleId="a3">
    <w:name w:val="No Spacing"/>
    <w:uiPriority w:val="1"/>
    <w:qFormat/>
    <w:rsid w:val="00BD05A3"/>
    <w:pPr>
      <w:spacing w:after="0" w:line="240" w:lineRule="auto"/>
      <w:ind w:firstLine="709"/>
      <w:jc w:val="both"/>
    </w:pPr>
    <w:rPr>
      <w:rFonts w:ascii="Times New Roman" w:hAnsi="Times New Roman"/>
      <w:sz w:val="28"/>
    </w:rPr>
  </w:style>
  <w:style w:type="character" w:styleId="a4">
    <w:name w:val="Strong"/>
    <w:basedOn w:val="a0"/>
    <w:qFormat/>
    <w:rsid w:val="00276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2017-03-30T12:11:00Z</dcterms:created>
  <dcterms:modified xsi:type="dcterms:W3CDTF">2017-03-30T12:11:00Z</dcterms:modified>
</cp:coreProperties>
</file>